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88" w:rsidRPr="00B2321C" w:rsidRDefault="00275888" w:rsidP="00275888">
      <w:pPr>
        <w:rPr>
          <w:b/>
          <w:color w:val="1F4E79" w:themeColor="accent1" w:themeShade="80"/>
          <w:sz w:val="28"/>
          <w:szCs w:val="28"/>
        </w:rPr>
      </w:pPr>
      <w:r w:rsidRPr="00B2321C">
        <w:rPr>
          <w:b/>
          <w:color w:val="1F4E79" w:themeColor="accent1" w:themeShade="80"/>
          <w:sz w:val="28"/>
          <w:szCs w:val="28"/>
        </w:rPr>
        <w:t>100 Jahre – 100 Töne</w:t>
      </w:r>
      <w:r w:rsidRPr="00B2321C">
        <w:rPr>
          <w:b/>
          <w:color w:val="1F4E79" w:themeColor="accent1" w:themeShade="80"/>
          <w:sz w:val="28"/>
          <w:szCs w:val="28"/>
        </w:rPr>
        <w:br/>
        <w:t>Kapiteltexte</w:t>
      </w:r>
    </w:p>
    <w:p w:rsidR="00275888" w:rsidRDefault="00275888" w:rsidP="00275888">
      <w:r>
        <w:t xml:space="preserve">Wie erinnern sich </w:t>
      </w:r>
      <w:proofErr w:type="spellStart"/>
      <w:r>
        <w:t>Zeitzeug</w:t>
      </w:r>
      <w:proofErr w:type="spellEnd"/>
      <w:r>
        <w:t xml:space="preserve">/innen an die vergangenen 100 Jahre seit Ausrufung der Republik? Wie an die politischen, technischen, kulturellen Entwicklungen, Zäsuren und Veränderungen in dieser langen Zeitspanne? Und wie integrieren sie diese in ihre Lebensgeschichte? Im Projekt </w:t>
      </w:r>
      <w:proofErr w:type="spellStart"/>
      <w:r>
        <w:t>MenschenLeben</w:t>
      </w:r>
      <w:proofErr w:type="spellEnd"/>
      <w:r>
        <w:t xml:space="preserve"> berichteten seit 2009 bislang über 1600 Männer und Frauen, Jugendliche, Erwachsene und Senioren in mehrstündigen Gesprächen über ihr Leben. Die Interviewten, zwischen 10 und 110 Jahre alt, erzählen von Kindheitserinnerungen, Natur- und Urlaubserlebnissen, Freizeitvergnügen und Hobbies sowie Erfolgen und Misserfolgen im Privatleben, Schule und Beruf. Sie beschreiben ihre Eltern und Familie und lassen uns an Schicksalsschlägen, Krankheiten, Tiefpunkten und Tod teilhaben. Diese Schilderungen verweben sich direkt oder indirekt mit den ‚großen‘ Entwicklungen Österreichs und der Welt, von den letzten Jahren der Monarchie über die Zwischenkriegszeit, von der Zeit des Nationalsozialismus und der alliierten Besatzung bis in die Gegenwart. Aus der Perspektive und mit den Worten jener, die all dies erlebt haben, bildet dieser Querschnitt durch die österreichische Gesellschaft in einzigartiger Weise Erlebnis-, Erfahrungs- und Erinnerungswelten des 20. und 21. Jahrhunderts ab.</w:t>
      </w:r>
    </w:p>
    <w:p w:rsidR="00275888" w:rsidRDefault="00275888" w:rsidP="00275888"/>
    <w:p w:rsidR="00275888" w:rsidRDefault="00275888" w:rsidP="00275888">
      <w:r>
        <w:t xml:space="preserve">Das Gedächtnis ist anders strukturiert als ein Lexikon. Besonders Jahreszahlen spielen in der Erinnerung eine andere Rolle und häufig ist es gar nicht so leicht, den Geschichten mehr Interesse zu schenken, als den Jahreszahlen, die der Erzählung als Zahl erst das Fundament zu geben scheinen. Wir wissen, dass in Erinnerungen ein und dasselbe Ereignis viele Jahreszahlen haben kann. Von diesem Umstand wollten wir uns aber nicht verleiten lassen, Erzählungen zu verwerfen und das Erinnern an Jahreszahlen allzu eng zu sehen, während wir das Erzählte dennoch sehr ernst und beim Wort nehmen wollten. Das Verhältnis von Zahl und </w:t>
      </w:r>
      <w:proofErr w:type="gramStart"/>
      <w:r>
        <w:t>Er-</w:t>
      </w:r>
      <w:proofErr w:type="spellStart"/>
      <w:r>
        <w:t>zähltem</w:t>
      </w:r>
      <w:proofErr w:type="spellEnd"/>
      <w:proofErr w:type="gramEnd"/>
      <w:r>
        <w:t xml:space="preserve"> ist dabei gar nicht so weit voneinander entfernt, geht es doch bei Letzterem buchstäblich ums Zählen, ums Er-Zählen, also das Annähern an Zahlen, um einen Prozess, in dem Jahreszahlen umkreisend abgesteckt und mit Sinn versehen werden. Die Annäherung an Ereignisse im Erzählen selbst und das Prozesshafte der Erzählung stehen daher auch in der Ausstellung „100 Jahre – 100 Töne“ im Vordergrund. Und es ist durchaus erlaubt, dass sich Zahlen im Erzählen mitunter widersprechen.</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1918–1927 Das Entstehen der Ersten Republik</w:t>
      </w:r>
    </w:p>
    <w:p w:rsidR="00275888" w:rsidRDefault="00275888" w:rsidP="00275888">
      <w:r>
        <w:t>Das Jahrzehnt vom Ende des Ersten Weltkriegs bis zum Jahr des Justizpalastbrandes war geprägt von der Transformation der Monarchie in die Erste Republik und dem Umbau der bestehenden politischen und territorialen Ordnung. Der österreichische Staat wurde von großen Teilen der Bevölkerung zunächst als lebensunfähiges Gebilde wahrgenommen. Populär waren deutschnationales Denken und der Wunsch nach einem bereits konzipierten „Deutschösterreich“. Gleichzeitig setzten progressivere Kräfte sozial- und arbeitspolitische Neuerungen, die für das gesamte 20. Jahrhundert maßgeblich werden sollten, durch, darunter der Achtstundentag oder das aktive und passive Frauenwahlrecht. Und auf die Jahre der Hyperinflation folgten die „Goldenen Zwanziger“ mit ihren Kulturtechniken wie dem Radio und dem Kino. Nur wenige der im Projekt „</w:t>
      </w:r>
      <w:proofErr w:type="spellStart"/>
      <w:r>
        <w:t>MenschenLeben</w:t>
      </w:r>
      <w:proofErr w:type="spellEnd"/>
      <w:r>
        <w:t xml:space="preserve">“ Interviewten waren in diesen frühen Jahren bereits geboren. Die Beschreibungen dieser Jahre handeln daher häufig von Erlebtem der Eltern und Großeltern. Die </w:t>
      </w:r>
      <w:r>
        <w:lastRenderedPageBreak/>
        <w:t>Interviewpartner/innen erzählen also ihrerseits Erzähltes, von der Zeit geformte Stücke aus dem Familiengedächtnis.</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1928–1937 Armut, Elend und das Ende der Demokratie</w:t>
      </w:r>
    </w:p>
    <w:p w:rsidR="00275888" w:rsidRDefault="00275888" w:rsidP="00275888">
      <w:r>
        <w:t xml:space="preserve">Während das Jahr 1928 noch in die „Goldenen Zwanziger“ fiel, waren die kommenden Jahre geprägt von der Weltwirtschaftskrise, die Österreich Anfang der 1930er Jahre voll erfasste, und ein allgegenwärtiges Bild des Hungers, der Arbeits- und Hoffnungslosigkeit schuf. Als „Ausgesteuerte“ wurden die Arbeitslosen sich selbst überlassen, die Arbeiterbewegung sukzessive unterdrückt. Nach der Ausschaltung des Parlaments durch Bundeskanzler Engelbert </w:t>
      </w:r>
      <w:proofErr w:type="spellStart"/>
      <w:r>
        <w:t>Dollfuß</w:t>
      </w:r>
      <w:proofErr w:type="spellEnd"/>
      <w:r>
        <w:t xml:space="preserve"> im Jahr 1933 war der Februar 1934 ein weiterer Wendepunkt: Kampfhandlungen zwischen Schutzbund und Heimwehr forderten mehrere hundert Tote, die Sozialdemokratische Partei wurde verboten, zahlreiche Funktionäre der Sozialdemokratie wurden des Vergehens „Aufruhr“ angeklagt und verurteilt, acht Todesurteile vollstreckt. Am 1. Mai 1934 verkündete die Regierung unter Bundeskanzler Engelbert </w:t>
      </w:r>
      <w:proofErr w:type="spellStart"/>
      <w:r>
        <w:t>Dollfuß</w:t>
      </w:r>
      <w:proofErr w:type="spellEnd"/>
      <w:r>
        <w:t xml:space="preserve"> die neue Verfassung, die das staatsrechtliche Ende der Demokratie und den Beginn des Austrofaschismus als eine autoritäre und hierarchische Herrschaftsform auf allen Ebenen des politischen Systems bedeutete. Kurt Schuschnigg, der nach der Ermordung </w:t>
      </w:r>
      <w:proofErr w:type="spellStart"/>
      <w:r>
        <w:t>Dollfuß</w:t>
      </w:r>
      <w:proofErr w:type="spellEnd"/>
      <w:r>
        <w:t>’ durch österreichische Nationalsozialisten im Juli 1934 die Regierung übernahm, versuchte zwar, die Selbständigkeit des Staates Österreich zu erhalten, das Erstarken der nationalsozialistischen Bewegung konnte er aber nicht aufhalten.</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1938–1947 Nationalsozialismus und Krieg</w:t>
      </w:r>
    </w:p>
    <w:p w:rsidR="00275888" w:rsidRDefault="00275888" w:rsidP="00275888">
      <w:r>
        <w:t xml:space="preserve">Ein großer Teil der österreichischen Bevölkerung nahm die Machtübernahme der Nationalsozialistischen Deutschen Arbeiterpartei (NSDAP) in Österreich im März 1938 mit Begeisterung auf. Österreichische Nationalsozialisten hatten sich aktiv daran beteiligt und übernahmen Schritt für Schritt Funktionen an den Schaltstellen der Macht. Mit dem „Anschluss“ wurde Österreich Teil des „Dritten Reiches“. Es folgte die Einführung der Nürnberger Rassegesetze, die die Grundlage des rechtlichen und physischen Ausschlusses jüdischer Mitbürger/innen darstellten. Auch Roma und Sinti, Homosexuelle, als „asozial“ Verfolgte, Menschen mit Behinderungen, Angehörige des organisierten oder </w:t>
      </w:r>
      <w:proofErr w:type="gramStart"/>
      <w:r>
        <w:t>nicht-organisierten</w:t>
      </w:r>
      <w:proofErr w:type="gramEnd"/>
      <w:r>
        <w:t xml:space="preserve"> Widerstands, Menschen, die Verfolgten Zuflucht gewährten, Wehrdienstverweigerer, Frauen und Männer, die Liebesverhältnisse mit jenen eingingen, die einer „niederen Rasse“ zugeordnet wurden, wurden im „Dritten Reich“ entrechtet und verfolgt, in den Konzentrationslagern zu schwersten Arbeiten gezwungen, gefoltert und ermordet. Dennoch nimmt der Zweite Weltkrieg und sein Ende durch die Alliierten in Österreich eine ambivalente Rolle im kollektiven Gedächtnis der Österreicher/innen ein. Die Freude über die Befreiung von der nationalsozialistischen Herrschaft schien nicht eindeutig größer zu sein als die empfundene Schmach über die Kriegsniederlage nach 1945. Die aktive Aufarbeitung des gerade Vergangenen und die Auseinandersetzung mit der eigenen Rolle und der Beteiligung von Österreicherinnen und Österreichern an den NS-Verbrechen wurde erst viele Jahre später in Angriff genommen.</w:t>
      </w:r>
    </w:p>
    <w:p w:rsidR="00275888" w:rsidRDefault="00275888" w:rsidP="00275888"/>
    <w:p w:rsidR="00B2321C" w:rsidRDefault="00B2321C" w:rsidP="00275888"/>
    <w:p w:rsidR="00B2321C" w:rsidRDefault="00B2321C" w:rsidP="00275888"/>
    <w:p w:rsidR="00275888" w:rsidRPr="00B2321C" w:rsidRDefault="00275888" w:rsidP="00275888">
      <w:pPr>
        <w:rPr>
          <w:b/>
          <w:color w:val="1F4E79" w:themeColor="accent1" w:themeShade="80"/>
        </w:rPr>
      </w:pPr>
      <w:r w:rsidRPr="00B2321C">
        <w:rPr>
          <w:b/>
          <w:color w:val="1F4E79" w:themeColor="accent1" w:themeShade="80"/>
        </w:rPr>
        <w:lastRenderedPageBreak/>
        <w:t>1948–1957 Besatzungszeit und Staatsvertrag</w:t>
      </w:r>
    </w:p>
    <w:p w:rsidR="00275888" w:rsidRDefault="00275888" w:rsidP="00275888">
      <w:r>
        <w:t xml:space="preserve">Zwischen dem Ende der nationalsozialistischen Herrschaft, dem Ende des Zweiten Weltkriegs im Mai 1945 und der Unterzeichnung des österreichischen Staatsvertrags im Mai 1955 lagen zehn Jahre, die von der Nachkriegsnot, dem politischen, sozialen und kulturellen Neuanfang und der Besatzungszeit durch die Alliierten gleichermaßen geprägt ist. Es war die Zeit des Marshallplanes, der Finanzspritze der US-Regierung, die Österreich wesentlich dabei unterstützte, den Übergang zum stabilen und souveränen Staat zu bewältigen. In den Erinnerungen der Interviewpartner/innen nimmt das Leben in der amerikanischen, französischen, britischen oder sowjetischen Besatzungszone, der unterschiedliche Umgang mit der fremden Macht und der jeweils andere Zugang zu Lebensmitteln einen großen Stellenwert ein. Durchwegs ambivalent sind die Geschichten und die Bewertungen der Befreier, die zwischen Freude über ihre Großzügigkeit, der Bewunderung über Neues und Unbekanntes und einer klaren Ablehnung auf der anderen Seite wechseln. Aber auch Erinnerungen an ganz Alltägliches wie Liebe, Aufklärung und Schwangerschaft werden im Kontext der späten 1940er und 1950er anders erzählt, als </w:t>
      </w:r>
      <w:proofErr w:type="gramStart"/>
      <w:r>
        <w:t>das</w:t>
      </w:r>
      <w:proofErr w:type="gramEnd"/>
      <w:r>
        <w:t xml:space="preserve"> heute der Fall wäre.</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1958–1967 Aufschwung, Konsum und Maschinen</w:t>
      </w:r>
    </w:p>
    <w:p w:rsidR="00275888" w:rsidRDefault="00275888" w:rsidP="00275888">
      <w:r>
        <w:t xml:space="preserve">Parallel zum wirtschaftlichen Aufschwung zogen seit Ende der 1950er Jahre Maschinen in allen Bereichen des Lebens ein und begannen großflächig, die Arbeitskraft des Menschen zu ersetzen. Der Einsatz des Traktors ist so ein Beispiel, durch ihn veränderte sich der Alltag in der Landwirtschaft von Grund auf. Im Privathaushalt war die Waschmaschine ähnlich revolutionär, beendete sie doch die Praxis des Waschtages, dessen Mühseligkeit in vielen Interviews des Projekts </w:t>
      </w:r>
      <w:proofErr w:type="spellStart"/>
      <w:r>
        <w:t>MenschenLeben</w:t>
      </w:r>
      <w:proofErr w:type="spellEnd"/>
      <w:r>
        <w:t xml:space="preserve"> zur Sprache kommt und dessen einzelne Handgriffe von denjenigen, die sie damals ausführten, bis heute klar im Gedächtnis sind. Schließlich revolutionierte auch der Fernseher das gemeinschaftliche Zusammensein, das in seinen ersten Jahren durchaus noch nicht die dörfliche Gaststube verlassen hatte. Supermarktfilialen von „Selbstbedienungsläden“ tauchten an mehreren Ecken der Städte auf und der Autoverkehr nahm zu. Seit Mitte der 1960er Jahre ist der öffentliche Raum von der Besetzung durch das Automobil geprägt, es veränderte das Stadtbild und das Leben, die Geräusche und Gerüche, den Alltag in der Stadt gänzlich.</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1968–1977 Proteste, Aufbruch, Frauenbewegung</w:t>
      </w:r>
    </w:p>
    <w:p w:rsidR="00275888" w:rsidRDefault="00275888" w:rsidP="00275888">
      <w:r>
        <w:t>Das Jahr 1968 und die Folgejahre waren weltweit eine Zeit der Proteste, Revolten und Revolutionen. Während in den USA der Vietnamkrieg junge Menschen zu zivilem Ungehorsam motivierte und in der Tschechoslowakei sich die Menschen im „Prager Frühling“ für eine Demokratisierung des Landes erhoben, protestierten die Jungen in Österreich und Deutschland gegen überholte soziale Strukturen und verklemmte Gesellschaftsbilder, gegen den verkorksten Umgang mit der NS-Vergangenheit und für die „freie Liebe“. Frauen gingen auf die Straße, um auf die Ausbeutung von Frauen am Arbeitsmarkt, deren unbezahlte Hausarbeit und die patriarchale Familienpolitik aufmerksam zu machen und um ihre Rechte auf Selbstbestimmung über den eigenen Körper und über ihre Karriere und ihre Familie zu erkämpfen. Die 1970er Jahre waren in Österreich nicht zuletzt von der sozialdemokratischen Politik Bruno Kreiskys geprägt, der von 1970 bis 1983 Bundeskanzler war. Wirtschaftlich folgte auf den großen Aufschwung der 1960er Jahre und der damit einhergehenden Entscheidung, „Gastarbeiter“ aus dem ehemaligen Jugoslawien und der Türkei nach Österreich zu holen, 1973 die Erdölkrise mit dem autofreien Tag und einem Stopp in der „Gastarbeiter“-Werbung.</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1978–1987 Konflikt, Konfrontation und Katastrophe</w:t>
      </w:r>
    </w:p>
    <w:p w:rsidR="00275888" w:rsidRDefault="00275888" w:rsidP="00275888">
      <w:r>
        <w:t xml:space="preserve">1978 entschieden die Österreicherinnen und Österreicher in einer Volksabstimmung, das bereits gebaute Atomkraftwerk in </w:t>
      </w:r>
      <w:proofErr w:type="spellStart"/>
      <w:r>
        <w:t>Zwentendorf</w:t>
      </w:r>
      <w:proofErr w:type="spellEnd"/>
      <w:r>
        <w:t xml:space="preserve"> nicht in Betrieb zu nehmen. Der Abstimmung gingen viele Demonstrationen der Anti-AKW-Bewegung und eine erstarkende Zivilgesellschaft voraus, die auch weiterhin mit politischen Aktivitäten in der Öffentlichkeit präsent blieb. So etwa bei der Gründung des Wiener WUK oder der Besetzung der Hainburger Au, der schließlich der Einzug der Grünen ins österreichische Parlament folgte. Ein Umdenken wurde in den 1980er Jahren auch in Bezug auf Österreichs Vergangenheit in den Jahren der NS-Herrschaft in Gang gesetzt. Ausgelöst durch das Antreten von Kurt Waldheim bei der Bundespräsidentenwahl im Jahr 1986 und die Entscheidung der USA, ihn auf die </w:t>
      </w:r>
      <w:proofErr w:type="spellStart"/>
      <w:r>
        <w:t>Watchlist</w:t>
      </w:r>
      <w:proofErr w:type="spellEnd"/>
      <w:r>
        <w:t xml:space="preserve"> für Kriegsverbrecher zu setzen, wurden erstmals öffentlich und auf breiter Basis die Themen Schuld und Mitverantwortung der österreichischen Bevölkerung für NS-Verbrechen diskutiert. Die Jungen fragten, was ihre Väter im Krieg gesehen und getan hatten, andere wiederum waren überzeugt von der Unschuld ihrer Eltern. Im Jahr der Waldheim-Wahl ereignete sich aber noch eine ganz andere Katastrophe: der Unfall im Reaktor 4 des Kernkraftwerks Tschernobyl, dessen Auswirkungen bis nach Österreich reichten.</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1988–1997 Alte und neue Grenzen</w:t>
      </w:r>
    </w:p>
    <w:p w:rsidR="00275888" w:rsidRDefault="00275888" w:rsidP="00275888">
      <w:r>
        <w:t>Das Jahr 1989 leitete das Ende der Kalten-Kriegs-Ordnung ein. Es fiel der „Eiserne Vorhang“, der die Ostblockstaaten während des Kalten Krieges von Westeuropa getrennt und abgeschnitten hatte. Die Berliner Mauer wurde nach der Massenflucht von DDR-Bürger/innen über Ungarn und die Tschechoslowakei im Herbst 1989 geöffnet, kurz danach gab es die DDR nicht mehr, aber eine Zeiteinteilung in nach und vor der „Wende“. 1990 erklärten sich einzelne Sowjetrepubliken zu unabhängigen Nationalstaaten und leiteten den Anfang vom Ende der Sowjetunion im Jahr 1991 ein. Die politische Ordnung Europas hatte sich gänzlich verschoben und für die Menschen am gesamten Kontinent grundlegende Veränderungen mit sich gebracht, die für den Großteil der Menschen noch kurz zuvor undenkbar waren. Viele Österreicher/innen erinnern sich an den Krieg im ehemaligen Jugoslawien, der viel Empathie und eine große Spenden- und Hilfsbereitschaft, nicht zuletzt aber auch neue Formen der Ausländerfeindlichkeit hervorrief. Gleichzeitig gab es in den 1990er Jahren viele andere Entwicklungen wie die Entstehung eines neuen Musikgenres, des Techno, oder die kontroversen Diskussionen über die erste Wehrmachtsaustellung, die die Gemüter der Generationen erhitzte.</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1998–2007 Ein neues Jahrtausend</w:t>
      </w:r>
    </w:p>
    <w:p w:rsidR="00275888" w:rsidRDefault="00275888" w:rsidP="00275888">
      <w:r>
        <w:t xml:space="preserve">Am Ende des 20. Jahrhunderts feierten nicht nur viele Menschen den Beginn des neuen Jahrtausends – und das streng genommen um ein Jahr zu früh – es gab auch Befürchtungen, dass die Computer die Umstellung nicht bewältigen und weltweit Systeme deswegen abstürzen würden. Dieser digitale Zusammenbruch blieb aus. Doch nur wenig später sollte ein ganz anderes Ereignis die Welt in ihren Grundfesten erschüttern: Der 11. September 2001. Die meisten können sich noch recht genau erinnern, was sie zum Zeitpunkt getan haben, als die beiden Flugzeuge in die </w:t>
      </w:r>
      <w:proofErr w:type="spellStart"/>
      <w:r>
        <w:t>Twin</w:t>
      </w:r>
      <w:proofErr w:type="spellEnd"/>
      <w:r>
        <w:t xml:space="preserve"> Towers des World Trade Centers in New York stürzten. Die Menschen finden häufig keine Worte für das Ereignis, das auf der ganzen Welt einen tiefen Schock ausgelöst hat. In Österreich bedeuteten die 2000er Jahre </w:t>
      </w:r>
      <w:r>
        <w:lastRenderedPageBreak/>
        <w:t xml:space="preserve">auch eine politische Wende: Erstmals bildete eine Koalition aus ÖVP und FPÖ unter Bundeskanzler Wolfgang Schüssel die Regierung. Großkundgebungen und wöchentliche Donnerstagsdemonstrationen folgten. Besonders markant für das kollektive Selbstverständnis </w:t>
      </w:r>
      <w:proofErr w:type="gramStart"/>
      <w:r>
        <w:t>war</w:t>
      </w:r>
      <w:proofErr w:type="gramEnd"/>
      <w:r>
        <w:t xml:space="preserve"> in diesem Jahrzehnt außerdem das Ende des Schillings und die Einführung des Euros, die selbst heute noch Umrechnungen aller Art bewirkt.</w:t>
      </w:r>
    </w:p>
    <w:p w:rsidR="00275888" w:rsidRDefault="00275888" w:rsidP="00275888"/>
    <w:p w:rsidR="00275888" w:rsidRPr="00B2321C" w:rsidRDefault="00275888" w:rsidP="00275888">
      <w:pPr>
        <w:rPr>
          <w:b/>
          <w:color w:val="1F4E79" w:themeColor="accent1" w:themeShade="80"/>
        </w:rPr>
      </w:pPr>
      <w:r w:rsidRPr="00B2321C">
        <w:rPr>
          <w:b/>
          <w:color w:val="1F4E79" w:themeColor="accent1" w:themeShade="80"/>
        </w:rPr>
        <w:t>2008–2017 Hundert Jahre Menschenleben</w:t>
      </w:r>
    </w:p>
    <w:p w:rsidR="00275888" w:rsidRDefault="00275888" w:rsidP="00275888">
      <w:r>
        <w:t>Was können wir über die letzten zehn Jahre in Österreich erzählen, reichen diese doch in die Gegenwart und ist die Zeit noch im Ausverhandeln – das, was war und wie es war? Selbstverständlich markieren auch dieses Jahrzehnt prägende Ereignisse wie der Syrienkrieg, der Millionen Menschen zur Flucht nach Europa zwang und der viele Österreicher/innen zunächst zur beispielslosen Flüchtlingshilfe animierte und zu einer Politik, die bald dem Kurs der zunehmenden Grenzschließung wich. Das „Projekt Europa“ wurde erstmals auf breiter Basis infrage gestellt: Die Bevölkerung Großbritanniens entschied sich in einer Abstimmung zum gänzlichen Ausstieg aus der EU und in Österreich wurde von einer Spaltung in zwei Lager gesprochen, die in der Wahl des Bundespräsidenten und bei der letzten Nationalratswahl besonders sichtbar geworden seien. 2008 wurde aber auch das Projekt „</w:t>
      </w:r>
      <w:proofErr w:type="spellStart"/>
      <w:r>
        <w:t>MenschenLeben</w:t>
      </w:r>
      <w:proofErr w:type="spellEnd"/>
      <w:r>
        <w:t xml:space="preserve">“ ins Leben gerufen, dessen Interviews hier versammelt sind, und </w:t>
      </w:r>
      <w:proofErr w:type="gramStart"/>
      <w:r>
        <w:t>das</w:t>
      </w:r>
      <w:proofErr w:type="gramEnd"/>
      <w:r>
        <w:t xml:space="preserve"> die Menschen in Österreich nach den Höhen und Tiefen ihres Lebens, ihrem Alltag und ihren individuellen Geschichten befragt. Aus der Sicht des Projektes ist es das Jahrzehnt des Fragens und des Rückblicks auf (zumindest) hundert Jahre Leben, eine Zeit des Erinnerns und des Blicks in die Zukunft. </w:t>
      </w:r>
    </w:p>
    <w:p w:rsidR="00B2321C" w:rsidRDefault="00B2321C" w:rsidP="00275888"/>
    <w:p w:rsidR="00B2321C" w:rsidRPr="00E71F98" w:rsidRDefault="00B2321C" w:rsidP="00B2321C">
      <w:pPr>
        <w:pStyle w:val="Default"/>
        <w:rPr>
          <w:rStyle w:val="Hyperlink"/>
          <w:rFonts w:asciiTheme="minorHAnsi" w:hAnsiTheme="minorHAnsi"/>
          <w:b/>
          <w:color w:val="auto"/>
          <w:sz w:val="22"/>
          <w:szCs w:val="22"/>
          <w:lang w:val="en-GB"/>
        </w:rPr>
      </w:pPr>
      <w:r w:rsidRPr="00E71F98">
        <w:rPr>
          <w:rFonts w:asciiTheme="minorHAnsi" w:hAnsiTheme="minorHAnsi"/>
          <w:color w:val="auto"/>
          <w:sz w:val="22"/>
          <w:szCs w:val="22"/>
          <w:lang w:val="en-GB"/>
        </w:rPr>
        <w:t>Link</w:t>
      </w:r>
      <w:r w:rsidRPr="00E71F98">
        <w:rPr>
          <w:rFonts w:asciiTheme="minorHAnsi" w:hAnsiTheme="minorHAnsi"/>
          <w:b/>
          <w:color w:val="auto"/>
          <w:sz w:val="22"/>
          <w:szCs w:val="22"/>
          <w:lang w:val="en-GB"/>
        </w:rPr>
        <w:t xml:space="preserve">: </w:t>
      </w:r>
      <w:hyperlink r:id="rId6" w:history="1">
        <w:r w:rsidRPr="00E71F98">
          <w:rPr>
            <w:rStyle w:val="Hyperlink"/>
            <w:rFonts w:asciiTheme="minorHAnsi" w:hAnsiTheme="minorHAnsi"/>
            <w:b/>
            <w:color w:val="auto"/>
            <w:sz w:val="22"/>
            <w:szCs w:val="22"/>
            <w:lang w:val="en-GB"/>
          </w:rPr>
          <w:t>www.mediathek.at/gedenkjahr-2018</w:t>
        </w:r>
      </w:hyperlink>
    </w:p>
    <w:p w:rsidR="00B2321C" w:rsidRPr="00E71F98" w:rsidRDefault="00B2321C" w:rsidP="00B2321C">
      <w:pPr>
        <w:pStyle w:val="Default"/>
        <w:rPr>
          <w:rStyle w:val="Hyperlink"/>
          <w:rFonts w:asciiTheme="minorHAnsi" w:hAnsiTheme="minorHAnsi"/>
          <w:color w:val="auto"/>
          <w:sz w:val="22"/>
          <w:szCs w:val="22"/>
          <w:lang w:val="en-GB"/>
        </w:rPr>
      </w:pPr>
    </w:p>
    <w:p w:rsidR="00B2321C" w:rsidRPr="00E71F98" w:rsidRDefault="00B2321C" w:rsidP="00B2321C">
      <w:pPr>
        <w:pStyle w:val="Textkrper2"/>
        <w:tabs>
          <w:tab w:val="left" w:pos="2127"/>
          <w:tab w:val="left" w:pos="3969"/>
        </w:tabs>
        <w:spacing w:after="0" w:line="240" w:lineRule="auto"/>
        <w:jc w:val="both"/>
        <w:rPr>
          <w:rFonts w:asciiTheme="minorHAnsi" w:hAnsiTheme="minorHAnsi" w:cs="Arial"/>
          <w:b/>
          <w:bCs/>
        </w:rPr>
      </w:pPr>
      <w:r w:rsidRPr="00E71F98">
        <w:rPr>
          <w:rFonts w:asciiTheme="minorHAnsi" w:hAnsiTheme="minorHAnsi" w:cs="Arial"/>
          <w:b/>
        </w:rPr>
        <w:t>Pressekontakt:</w:t>
      </w:r>
    </w:p>
    <w:p w:rsidR="00B2321C" w:rsidRPr="00E71F98" w:rsidRDefault="00B2321C" w:rsidP="00B2321C">
      <w:pPr>
        <w:pStyle w:val="Textkrper2"/>
        <w:tabs>
          <w:tab w:val="left" w:pos="2127"/>
          <w:tab w:val="left" w:pos="3828"/>
        </w:tabs>
        <w:spacing w:after="0" w:line="240" w:lineRule="auto"/>
        <w:rPr>
          <w:rFonts w:asciiTheme="minorHAnsi" w:hAnsiTheme="minorHAnsi" w:cs="Arial"/>
          <w:b/>
          <w:bCs/>
        </w:rPr>
      </w:pPr>
      <w:proofErr w:type="gramStart"/>
      <w:r w:rsidRPr="00E71F98">
        <w:rPr>
          <w:rFonts w:asciiTheme="minorHAnsi" w:hAnsiTheme="minorHAnsi" w:cs="Arial"/>
          <w:lang w:val="it-IT"/>
        </w:rPr>
        <w:t>Mag.</w:t>
      </w:r>
      <w:proofErr w:type="gramEnd"/>
      <w:r w:rsidRPr="00E71F98">
        <w:rPr>
          <w:rFonts w:asciiTheme="minorHAnsi" w:hAnsiTheme="minorHAnsi" w:cs="Arial"/>
          <w:lang w:val="it-IT"/>
        </w:rPr>
        <w:t xml:space="preserve"> Barbara Hafok | </w:t>
      </w:r>
      <w:r w:rsidRPr="00E71F98">
        <w:rPr>
          <w:rFonts w:asciiTheme="minorHAnsi" w:hAnsiTheme="minorHAnsi" w:cs="Arial"/>
        </w:rPr>
        <w:t>Technisches Museum Wien</w:t>
      </w:r>
    </w:p>
    <w:p w:rsidR="00B2321C" w:rsidRPr="00E71F98" w:rsidRDefault="00B2321C" w:rsidP="00B2321C">
      <w:pPr>
        <w:pStyle w:val="Textkrper2"/>
        <w:tabs>
          <w:tab w:val="left" w:pos="2127"/>
          <w:tab w:val="left" w:pos="3828"/>
        </w:tabs>
        <w:spacing w:after="0" w:line="240" w:lineRule="auto"/>
        <w:rPr>
          <w:rFonts w:asciiTheme="minorHAnsi" w:hAnsiTheme="minorHAnsi" w:cs="Arial"/>
          <w:b/>
          <w:bCs/>
        </w:rPr>
      </w:pPr>
      <w:r w:rsidRPr="00E71F98">
        <w:rPr>
          <w:rFonts w:asciiTheme="minorHAnsi" w:hAnsiTheme="minorHAnsi" w:cs="Arial"/>
        </w:rPr>
        <w:t>Tel. 01/899 98-1200 | barbara.hafok@tmw.at | www.technischesmuseum.at/presse</w:t>
      </w:r>
    </w:p>
    <w:p w:rsidR="00B2321C" w:rsidRPr="00E71F98" w:rsidRDefault="00B2321C" w:rsidP="00B2321C">
      <w:pPr>
        <w:pStyle w:val="Textkrper2"/>
        <w:tabs>
          <w:tab w:val="left" w:pos="2127"/>
          <w:tab w:val="left" w:pos="3828"/>
        </w:tabs>
        <w:spacing w:after="0" w:line="240" w:lineRule="auto"/>
        <w:rPr>
          <w:rFonts w:asciiTheme="minorHAnsi" w:hAnsiTheme="minorHAnsi" w:cs="Arial"/>
          <w:b/>
          <w:bCs/>
        </w:rPr>
      </w:pPr>
    </w:p>
    <w:p w:rsidR="00B2321C" w:rsidRPr="00E71F98" w:rsidRDefault="00B2321C" w:rsidP="00B2321C">
      <w:pPr>
        <w:pStyle w:val="Textkrper2"/>
        <w:tabs>
          <w:tab w:val="left" w:pos="2127"/>
          <w:tab w:val="left" w:pos="3828"/>
        </w:tabs>
        <w:spacing w:after="0" w:line="240" w:lineRule="auto"/>
        <w:rPr>
          <w:rFonts w:asciiTheme="minorHAnsi" w:hAnsiTheme="minorHAnsi" w:cs="Arial"/>
        </w:rPr>
      </w:pPr>
      <w:r w:rsidRPr="00E71F98">
        <w:rPr>
          <w:rFonts w:asciiTheme="minorHAnsi" w:hAnsiTheme="minorHAnsi" w:cs="Arial"/>
        </w:rPr>
        <w:t xml:space="preserve">Mag. Johannes Kapeller | Österreichische Mediathek </w:t>
      </w:r>
    </w:p>
    <w:p w:rsidR="00B2321C" w:rsidRPr="00E71F98" w:rsidRDefault="00B2321C" w:rsidP="00B2321C">
      <w:pPr>
        <w:pStyle w:val="Textkrper2"/>
        <w:tabs>
          <w:tab w:val="left" w:pos="2127"/>
          <w:tab w:val="left" w:pos="3828"/>
        </w:tabs>
        <w:spacing w:after="0" w:line="240" w:lineRule="auto"/>
        <w:rPr>
          <w:rFonts w:asciiTheme="minorHAnsi" w:hAnsiTheme="minorHAnsi" w:cs="Arial"/>
          <w:lang w:val="it-IT"/>
        </w:rPr>
      </w:pPr>
      <w:r w:rsidRPr="00E71F98">
        <w:rPr>
          <w:rFonts w:asciiTheme="minorHAnsi" w:hAnsiTheme="minorHAnsi" w:cs="Arial"/>
          <w:lang w:val="it-IT"/>
        </w:rPr>
        <w:t xml:space="preserve">Tel. 01/597 36 69-7138 | johannes.kapeller@mediathek.at  </w:t>
      </w:r>
    </w:p>
    <w:p w:rsidR="00B2321C" w:rsidRPr="00E71F98" w:rsidRDefault="00B2321C" w:rsidP="00B2321C">
      <w:pPr>
        <w:pStyle w:val="Textkrper2"/>
        <w:tabs>
          <w:tab w:val="left" w:pos="2127"/>
          <w:tab w:val="left" w:pos="3828"/>
        </w:tabs>
        <w:spacing w:after="0" w:line="240" w:lineRule="auto"/>
        <w:rPr>
          <w:rFonts w:asciiTheme="minorHAnsi" w:hAnsiTheme="minorHAnsi" w:cs="Arial"/>
          <w:bCs/>
          <w:u w:val="single"/>
          <w:lang w:val="it-IT"/>
        </w:rPr>
      </w:pPr>
      <w:r w:rsidRPr="00E71F98">
        <w:rPr>
          <w:rFonts w:asciiTheme="minorHAnsi" w:hAnsiTheme="minorHAnsi" w:cs="Arial"/>
          <w:lang w:val="it-IT"/>
        </w:rPr>
        <w:t>www.mediathek.at/service/presse/pressematerialien-gedenkjahr-2018</w:t>
      </w:r>
    </w:p>
    <w:p w:rsidR="00B2321C" w:rsidRPr="00B2321C" w:rsidRDefault="00B2321C" w:rsidP="00275888">
      <w:pPr>
        <w:rPr>
          <w:lang w:val="it-IT"/>
        </w:rPr>
      </w:pPr>
    </w:p>
    <w:p w:rsidR="00A32D44" w:rsidRPr="00B2321C" w:rsidRDefault="00A32D44">
      <w:pPr>
        <w:rPr>
          <w:lang w:val="it-IT"/>
        </w:rPr>
      </w:pPr>
      <w:bookmarkStart w:id="0" w:name="_GoBack"/>
      <w:bookmarkEnd w:id="0"/>
    </w:p>
    <w:sectPr w:rsidR="00A32D44" w:rsidRPr="00B2321C" w:rsidSect="00A32D4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1C" w:rsidRDefault="00B2321C" w:rsidP="00B2321C">
      <w:pPr>
        <w:spacing w:after="0" w:line="240" w:lineRule="auto"/>
      </w:pPr>
      <w:r>
        <w:separator/>
      </w:r>
    </w:p>
  </w:endnote>
  <w:endnote w:type="continuationSeparator" w:id="0">
    <w:p w:rsidR="00B2321C" w:rsidRDefault="00B2321C" w:rsidP="00B2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21C" w:rsidRPr="003E745B" w:rsidRDefault="00B2321C" w:rsidP="00B2321C">
    <w:pPr>
      <w:pStyle w:val="Fuzeile"/>
      <w:rPr>
        <w:b/>
        <w:sz w:val="18"/>
        <w:szCs w:val="18"/>
      </w:rPr>
    </w:pPr>
    <w:r w:rsidRPr="003E745B">
      <w:rPr>
        <w:b/>
        <w:sz w:val="18"/>
        <w:szCs w:val="18"/>
      </w:rPr>
      <w:t xml:space="preserve">Presseanfragen: </w:t>
    </w:r>
  </w:p>
  <w:p w:rsidR="00B2321C" w:rsidRDefault="00B2321C" w:rsidP="00B2321C">
    <w:pPr>
      <w:pStyle w:val="Fuzeile"/>
      <w:rPr>
        <w:sz w:val="18"/>
        <w:szCs w:val="18"/>
      </w:rPr>
    </w:pPr>
    <w:r w:rsidRPr="003E745B">
      <w:rPr>
        <w:sz w:val="18"/>
        <w:szCs w:val="18"/>
      </w:rPr>
      <w:t xml:space="preserve">Österreichische Mediathek: </w:t>
    </w:r>
    <w:proofErr w:type="spellStart"/>
    <w:proofErr w:type="gramStart"/>
    <w:r w:rsidRPr="003E745B">
      <w:rPr>
        <w:sz w:val="18"/>
        <w:szCs w:val="18"/>
      </w:rPr>
      <w:t>johannes.kapeller</w:t>
    </w:r>
    <w:proofErr w:type="spellEnd"/>
    <w:proofErr w:type="gramEnd"/>
    <w:r w:rsidRPr="003E745B">
      <w:rPr>
        <w:sz w:val="18"/>
        <w:szCs w:val="18"/>
      </w:rPr>
      <w:t>[at]mediathek.at</w:t>
    </w:r>
  </w:p>
  <w:p w:rsidR="00B2321C" w:rsidRDefault="00B2321C" w:rsidP="00B2321C">
    <w:pPr>
      <w:pStyle w:val="Fuzeile"/>
      <w:rPr>
        <w:sz w:val="18"/>
        <w:szCs w:val="18"/>
      </w:rPr>
    </w:pPr>
    <w:r>
      <w:rPr>
        <w:sz w:val="18"/>
        <w:szCs w:val="18"/>
      </w:rPr>
      <w:t xml:space="preserve">Technisches Museum Wien: </w:t>
    </w:r>
    <w:proofErr w:type="spellStart"/>
    <w:proofErr w:type="gramStart"/>
    <w:r>
      <w:rPr>
        <w:sz w:val="18"/>
        <w:szCs w:val="18"/>
      </w:rPr>
      <w:t>barbara.hafok</w:t>
    </w:r>
    <w:proofErr w:type="spellEnd"/>
    <w:proofErr w:type="gramEnd"/>
    <w:r w:rsidRPr="003E745B">
      <w:rPr>
        <w:sz w:val="18"/>
        <w:szCs w:val="18"/>
      </w:rPr>
      <w:t>[at]</w:t>
    </w:r>
    <w:r>
      <w:rPr>
        <w:sz w:val="18"/>
        <w:szCs w:val="18"/>
      </w:rPr>
      <w:t>tmw.at</w:t>
    </w:r>
  </w:p>
  <w:p w:rsidR="00B2321C" w:rsidRDefault="00B232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1C" w:rsidRDefault="00B2321C" w:rsidP="00B2321C">
      <w:pPr>
        <w:spacing w:after="0" w:line="240" w:lineRule="auto"/>
      </w:pPr>
      <w:r>
        <w:separator/>
      </w:r>
    </w:p>
  </w:footnote>
  <w:footnote w:type="continuationSeparator" w:id="0">
    <w:p w:rsidR="00B2321C" w:rsidRDefault="00B2321C" w:rsidP="00B2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21C" w:rsidRDefault="00B2321C" w:rsidP="00B2321C">
    <w:pPr>
      <w:pStyle w:val="Kopfzeile"/>
    </w:pPr>
    <w:r>
      <w:rPr>
        <w:noProof/>
        <w:lang w:eastAsia="de-AT"/>
      </w:rPr>
      <w:drawing>
        <wp:anchor distT="0" distB="0" distL="114300" distR="114300" simplePos="0" relativeHeight="251659264" behindDoc="1" locked="0" layoutInCell="1" allowOverlap="1" wp14:anchorId="3A1A30CA" wp14:editId="19CE8F86">
          <wp:simplePos x="0" y="0"/>
          <wp:positionH relativeFrom="column">
            <wp:posOffset>4967605</wp:posOffset>
          </wp:positionH>
          <wp:positionV relativeFrom="paragraph">
            <wp:posOffset>-220980</wp:posOffset>
          </wp:positionV>
          <wp:extent cx="772795" cy="568325"/>
          <wp:effectExtent l="0" t="0" r="0" b="0"/>
          <wp:wrapTight wrapText="bothSides">
            <wp:wrapPolygon edited="0">
              <wp:start x="0" y="0"/>
              <wp:lineTo x="0" y="20997"/>
              <wp:lineTo x="21298" y="20997"/>
              <wp:lineTo x="2129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_100_Jahre_100_Töne_Mediathek.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72795" cy="568325"/>
                  </a:xfrm>
                  <a:prstGeom prst="rect">
                    <a:avLst/>
                  </a:prstGeom>
                </pic:spPr>
              </pic:pic>
            </a:graphicData>
          </a:graphic>
        </wp:anchor>
      </w:drawing>
    </w:r>
    <w:r>
      <w:t xml:space="preserve">Presseinformation  </w:t>
    </w:r>
  </w:p>
  <w:p w:rsidR="00B2321C" w:rsidRPr="007A1844" w:rsidRDefault="00B2321C" w:rsidP="00B2321C">
    <w:pPr>
      <w:pStyle w:val="Kopfzeile"/>
    </w:pPr>
    <w:r>
      <w:t>Onlineausstellung 100 Jahre – 100 Töne</w:t>
    </w:r>
  </w:p>
  <w:p w:rsidR="00B2321C" w:rsidRDefault="00B2321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88"/>
    <w:rsid w:val="00275888"/>
    <w:rsid w:val="00974575"/>
    <w:rsid w:val="00A32D44"/>
    <w:rsid w:val="00B232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D9CC"/>
  <w15:chartTrackingRefBased/>
  <w15:docId w15:val="{127C3136-895B-45CA-9C9A-8A12AFC1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D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32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321C"/>
  </w:style>
  <w:style w:type="paragraph" w:styleId="Fuzeile">
    <w:name w:val="footer"/>
    <w:basedOn w:val="Standard"/>
    <w:link w:val="FuzeileZchn"/>
    <w:uiPriority w:val="99"/>
    <w:unhideWhenUsed/>
    <w:rsid w:val="00B232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321C"/>
  </w:style>
  <w:style w:type="character" w:styleId="Hyperlink">
    <w:name w:val="Hyperlink"/>
    <w:basedOn w:val="Absatz-Standardschriftart"/>
    <w:uiPriority w:val="99"/>
    <w:unhideWhenUsed/>
    <w:rsid w:val="00B2321C"/>
    <w:rPr>
      <w:color w:val="0000FF"/>
      <w:u w:val="single"/>
    </w:rPr>
  </w:style>
  <w:style w:type="paragraph" w:styleId="Textkrper2">
    <w:name w:val="Body Text 2"/>
    <w:basedOn w:val="Standard"/>
    <w:link w:val="Textkrper2Zchn"/>
    <w:uiPriority w:val="99"/>
    <w:unhideWhenUsed/>
    <w:rsid w:val="00B2321C"/>
    <w:pPr>
      <w:spacing w:after="120" w:line="480" w:lineRule="auto"/>
    </w:pPr>
    <w:rPr>
      <w:rFonts w:ascii="Calibri" w:eastAsia="Calibri" w:hAnsi="Calibri" w:cs="Times New Roman"/>
      <w:lang w:val="de-DE"/>
    </w:rPr>
  </w:style>
  <w:style w:type="character" w:customStyle="1" w:styleId="Textkrper2Zchn">
    <w:name w:val="Textkörper 2 Zchn"/>
    <w:basedOn w:val="Absatz-Standardschriftart"/>
    <w:link w:val="Textkrper2"/>
    <w:uiPriority w:val="99"/>
    <w:rsid w:val="00B2321C"/>
    <w:rPr>
      <w:rFonts w:ascii="Calibri" w:eastAsia="Calibri" w:hAnsi="Calibri" w:cs="Times New Roman"/>
      <w:lang w:val="de-DE"/>
    </w:rPr>
  </w:style>
  <w:style w:type="paragraph" w:customStyle="1" w:styleId="Default">
    <w:name w:val="Default"/>
    <w:rsid w:val="00B232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athek.at/gedenkjahr-20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83D7D6DA.dotm</Template>
  <TotalTime>0</TotalTime>
  <Pages>5</Pages>
  <Words>2159</Words>
  <Characters>13602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Technisches Museum mit Österreichischer Mediathek</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Kapeller</dc:creator>
  <cp:keywords/>
  <dc:description/>
  <cp:lastModifiedBy>Johannes Kapeller</cp:lastModifiedBy>
  <cp:revision>2</cp:revision>
  <dcterms:created xsi:type="dcterms:W3CDTF">2018-12-10T11:49:00Z</dcterms:created>
  <dcterms:modified xsi:type="dcterms:W3CDTF">2018-12-10T12:52:00Z</dcterms:modified>
</cp:coreProperties>
</file>